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5F5" w:rsidRDefault="008D55F5" w:rsidP="008D55F5">
      <w:pPr>
        <w:spacing w:line="480" w:lineRule="auto"/>
        <w:jc w:val="center"/>
        <w:rPr>
          <w:rFonts w:ascii="Times New Roman" w:hAnsi="Times New Roman" w:cs="Times New Roman"/>
          <w:sz w:val="24"/>
          <w:szCs w:val="24"/>
        </w:rPr>
      </w:pPr>
    </w:p>
    <w:p w:rsidR="008D55F5" w:rsidRDefault="008D55F5" w:rsidP="0092579B">
      <w:pPr>
        <w:spacing w:line="480" w:lineRule="auto"/>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8D55F5" w:rsidRDefault="008D55F5" w:rsidP="000D52A7">
      <w:pPr>
        <w:spacing w:line="480" w:lineRule="auto"/>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r w:rsidRPr="00D45900">
        <w:rPr>
          <w:rFonts w:ascii="Times New Roman" w:hAnsi="Times New Roman" w:cs="Times New Roman"/>
          <w:sz w:val="24"/>
          <w:szCs w:val="24"/>
        </w:rPr>
        <w:t>Strategic Entry Options</w:t>
      </w:r>
    </w:p>
    <w:p w:rsidR="000D52A7" w:rsidRDefault="000D52A7" w:rsidP="008D55F5">
      <w:pPr>
        <w:spacing w:line="480" w:lineRule="auto"/>
        <w:jc w:val="center"/>
        <w:rPr>
          <w:rFonts w:ascii="Times New Roman" w:hAnsi="Times New Roman" w:cs="Times New Roman"/>
          <w:sz w:val="24"/>
          <w:szCs w:val="24"/>
        </w:rPr>
      </w:pPr>
    </w:p>
    <w:p w:rsidR="000D52A7" w:rsidRDefault="000D52A7"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E70CCE">
        <w:rPr>
          <w:rFonts w:ascii="Times New Roman" w:hAnsi="Times New Roman" w:cs="Times New Roman"/>
          <w:sz w:val="24"/>
          <w:szCs w:val="24"/>
        </w:rPr>
        <w:t xml:space="preserve"> of Student</w:t>
      </w:r>
    </w:p>
    <w:p w:rsidR="00E70CCE" w:rsidRDefault="00E70CCE" w:rsidP="008D55F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Professor</w:t>
      </w:r>
    </w:p>
    <w:p w:rsidR="00E70CCE" w:rsidRDefault="00E70CCE" w:rsidP="008D55F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8D55F5" w:rsidRDefault="00E70CCE" w:rsidP="008D55F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D55F5" w:rsidRDefault="008D55F5"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8D55F5" w:rsidRDefault="008D55F5" w:rsidP="008D55F5">
      <w:pPr>
        <w:spacing w:line="480" w:lineRule="auto"/>
        <w:jc w:val="center"/>
        <w:rPr>
          <w:rFonts w:ascii="Times New Roman" w:hAnsi="Times New Roman" w:cs="Times New Roman"/>
          <w:sz w:val="24"/>
          <w:szCs w:val="24"/>
        </w:rPr>
      </w:pPr>
    </w:p>
    <w:p w:rsidR="00E12F4F" w:rsidRPr="00E12F4F" w:rsidRDefault="00E12F4F" w:rsidP="00E12F4F">
      <w:pPr>
        <w:spacing w:line="480" w:lineRule="auto"/>
        <w:ind w:firstLine="720"/>
        <w:rPr>
          <w:rFonts w:ascii="Times New Roman" w:hAnsi="Times New Roman" w:cs="Times New Roman"/>
          <w:color w:val="222222"/>
          <w:sz w:val="24"/>
          <w:szCs w:val="24"/>
          <w:shd w:val="clear" w:color="auto" w:fill="FFFFFF"/>
        </w:rPr>
      </w:pPr>
      <w:r w:rsidRPr="00E12F4F">
        <w:rPr>
          <w:rFonts w:ascii="Times New Roman" w:hAnsi="Times New Roman" w:cs="Times New Roman"/>
          <w:color w:val="222222"/>
          <w:sz w:val="24"/>
          <w:szCs w:val="24"/>
          <w:shd w:val="clear" w:color="auto" w:fill="FFFFFF"/>
        </w:rPr>
        <w:lastRenderedPageBreak/>
        <w:t xml:space="preserve">Expanding business beyond borders of </w:t>
      </w:r>
      <w:r w:rsidR="00620E45">
        <w:rPr>
          <w:rFonts w:ascii="Times New Roman" w:hAnsi="Times New Roman" w:cs="Times New Roman"/>
          <w:color w:val="222222"/>
          <w:sz w:val="24"/>
          <w:szCs w:val="24"/>
          <w:shd w:val="clear" w:color="auto" w:fill="FFFFFF"/>
        </w:rPr>
        <w:t>the original country</w:t>
      </w:r>
      <w:r w:rsidRPr="00E12F4F">
        <w:rPr>
          <w:rFonts w:ascii="Times New Roman" w:hAnsi="Times New Roman" w:cs="Times New Roman"/>
          <w:color w:val="222222"/>
          <w:sz w:val="24"/>
          <w:szCs w:val="24"/>
          <w:shd w:val="clear" w:color="auto" w:fill="FFFFFF"/>
        </w:rPr>
        <w:t xml:space="preserve"> comes with a unique challenge, and thus companies must come up with the right strategy to succeed. The choice of an appropriate mode is mainly influence</w:t>
      </w:r>
      <w:bookmarkStart w:id="0" w:name="_GoBack"/>
      <w:bookmarkEnd w:id="0"/>
      <w:r w:rsidRPr="00E12F4F">
        <w:rPr>
          <w:rFonts w:ascii="Times New Roman" w:hAnsi="Times New Roman" w:cs="Times New Roman"/>
          <w:color w:val="222222"/>
          <w:sz w:val="24"/>
          <w:szCs w:val="24"/>
          <w:shd w:val="clear" w:color="auto" w:fill="FFFFFF"/>
        </w:rPr>
        <w:t xml:space="preserve">d by differences in national </w:t>
      </w:r>
      <w:r w:rsidR="00620E45">
        <w:rPr>
          <w:rFonts w:ascii="Times New Roman" w:hAnsi="Times New Roman" w:cs="Times New Roman"/>
          <w:color w:val="222222"/>
          <w:sz w:val="24"/>
          <w:szCs w:val="24"/>
          <w:shd w:val="clear" w:color="auto" w:fill="FFFFFF"/>
        </w:rPr>
        <w:t xml:space="preserve">business </w:t>
      </w:r>
      <w:r w:rsidRPr="00E12F4F">
        <w:rPr>
          <w:rFonts w:ascii="Times New Roman" w:hAnsi="Times New Roman" w:cs="Times New Roman"/>
          <w:color w:val="222222"/>
          <w:sz w:val="24"/>
          <w:szCs w:val="24"/>
          <w:shd w:val="clear" w:color="auto" w:fill="FFFFFF"/>
        </w:rPr>
        <w:t xml:space="preserve">culture among the two countries, which, on the other hand, influences business culture (Nielsen &amp; Nielsen, 2011). </w:t>
      </w:r>
    </w:p>
    <w:p w:rsidR="00E12F4F" w:rsidRPr="00E12F4F" w:rsidRDefault="00E12F4F" w:rsidP="00CA65AD">
      <w:pPr>
        <w:spacing w:line="480" w:lineRule="auto"/>
        <w:ind w:firstLine="720"/>
        <w:rPr>
          <w:rFonts w:ascii="Times New Roman" w:hAnsi="Times New Roman" w:cs="Times New Roman"/>
          <w:color w:val="222222"/>
          <w:sz w:val="24"/>
          <w:szCs w:val="24"/>
          <w:shd w:val="clear" w:color="auto" w:fill="FFFFFF"/>
        </w:rPr>
      </w:pPr>
      <w:r w:rsidRPr="00E12F4F">
        <w:rPr>
          <w:rFonts w:ascii="Times New Roman" w:hAnsi="Times New Roman" w:cs="Times New Roman"/>
          <w:color w:val="222222"/>
          <w:sz w:val="24"/>
          <w:szCs w:val="24"/>
          <w:shd w:val="clear" w:color="auto" w:fill="FFFFFF"/>
        </w:rPr>
        <w:t>Every entry mode has its own peculiar benefits and costs, and thus a balance of these is vital for business growth. For the case of a US-based bus</w:t>
      </w:r>
      <w:r w:rsidR="00691F2B">
        <w:rPr>
          <w:rFonts w:ascii="Times New Roman" w:hAnsi="Times New Roman" w:cs="Times New Roman"/>
          <w:color w:val="222222"/>
          <w:sz w:val="24"/>
          <w:szCs w:val="24"/>
          <w:shd w:val="clear" w:color="auto" w:fill="FFFFFF"/>
        </w:rPr>
        <w:t xml:space="preserve">iness extending its operations in Japan, </w:t>
      </w:r>
      <w:r w:rsidRPr="00E12F4F">
        <w:rPr>
          <w:rFonts w:ascii="Times New Roman" w:hAnsi="Times New Roman" w:cs="Times New Roman"/>
          <w:color w:val="222222"/>
          <w:sz w:val="24"/>
          <w:szCs w:val="24"/>
          <w:shd w:val="clear" w:color="auto" w:fill="FFFFFF"/>
        </w:rPr>
        <w:t xml:space="preserve">appropriate entry mode must focus </w:t>
      </w:r>
      <w:r w:rsidR="001A0162">
        <w:rPr>
          <w:rFonts w:ascii="Times New Roman" w:hAnsi="Times New Roman" w:cs="Times New Roman"/>
          <w:color w:val="222222"/>
          <w:sz w:val="24"/>
          <w:szCs w:val="24"/>
          <w:shd w:val="clear" w:color="auto" w:fill="FFFFFF"/>
        </w:rPr>
        <w:t xml:space="preserve">on </w:t>
      </w:r>
      <w:r w:rsidRPr="00E12F4F">
        <w:rPr>
          <w:rFonts w:ascii="Times New Roman" w:hAnsi="Times New Roman" w:cs="Times New Roman"/>
          <w:color w:val="222222"/>
          <w:sz w:val="24"/>
          <w:szCs w:val="24"/>
          <w:shd w:val="clear" w:color="auto" w:fill="FFFFFF"/>
        </w:rPr>
        <w:t>differences in business environments between the two countries.</w:t>
      </w:r>
    </w:p>
    <w:p w:rsidR="00E12F4F" w:rsidRPr="00E12F4F" w:rsidRDefault="00E12F4F" w:rsidP="00CA65AD">
      <w:pPr>
        <w:spacing w:line="480" w:lineRule="auto"/>
        <w:ind w:firstLine="720"/>
        <w:rPr>
          <w:rFonts w:ascii="Times New Roman" w:hAnsi="Times New Roman" w:cs="Times New Roman"/>
          <w:color w:val="222222"/>
          <w:sz w:val="24"/>
          <w:szCs w:val="24"/>
          <w:shd w:val="clear" w:color="auto" w:fill="FFFFFF"/>
        </w:rPr>
      </w:pPr>
      <w:r w:rsidRPr="00E12F4F">
        <w:rPr>
          <w:rFonts w:ascii="Times New Roman" w:hAnsi="Times New Roman" w:cs="Times New Roman"/>
          <w:color w:val="222222"/>
          <w:sz w:val="24"/>
          <w:szCs w:val="24"/>
          <w:shd w:val="clear" w:color="auto" w:fill="FFFFFF"/>
        </w:rPr>
        <w:t>Acquisition as one of the entry modes means that the company acquires total control of activities from production to marketing. This is beneficial in that the company bypasses any franchising charges and costs incurred previously when another company ran the subsidiary.  The acquisition also means the company will acquire quality staff and skills to promote their business. Finally, expansion through acquisition strengthens the business position globally, increasing its purchasing power and overall strength (</w:t>
      </w:r>
      <w:proofErr w:type="spellStart"/>
      <w:r w:rsidRPr="00E12F4F">
        <w:rPr>
          <w:rFonts w:ascii="Times New Roman" w:hAnsi="Times New Roman" w:cs="Times New Roman"/>
          <w:color w:val="222222"/>
          <w:sz w:val="24"/>
          <w:szCs w:val="24"/>
          <w:shd w:val="clear" w:color="auto" w:fill="FFFFFF"/>
        </w:rPr>
        <w:t>Madhok</w:t>
      </w:r>
      <w:proofErr w:type="spellEnd"/>
      <w:r w:rsidRPr="00E12F4F">
        <w:rPr>
          <w:rFonts w:ascii="Times New Roman" w:hAnsi="Times New Roman" w:cs="Times New Roman"/>
          <w:color w:val="222222"/>
          <w:sz w:val="24"/>
          <w:szCs w:val="24"/>
          <w:shd w:val="clear" w:color="auto" w:fill="FFFFFF"/>
        </w:rPr>
        <w:t xml:space="preserve"> &amp; </w:t>
      </w:r>
      <w:proofErr w:type="spellStart"/>
      <w:r w:rsidRPr="00E12F4F">
        <w:rPr>
          <w:rFonts w:ascii="Times New Roman" w:hAnsi="Times New Roman" w:cs="Times New Roman"/>
          <w:color w:val="222222"/>
          <w:sz w:val="24"/>
          <w:szCs w:val="24"/>
          <w:shd w:val="clear" w:color="auto" w:fill="FFFFFF"/>
        </w:rPr>
        <w:t>Keyhani</w:t>
      </w:r>
      <w:proofErr w:type="spellEnd"/>
      <w:r w:rsidRPr="00E12F4F">
        <w:rPr>
          <w:rFonts w:ascii="Times New Roman" w:hAnsi="Times New Roman" w:cs="Times New Roman"/>
          <w:color w:val="222222"/>
          <w:sz w:val="24"/>
          <w:szCs w:val="24"/>
          <w:shd w:val="clear" w:color="auto" w:fill="FFFFFF"/>
        </w:rPr>
        <w:t>, 2012). Acquisitions, however, come with high-cost implications as well as problems in integration to the new business environment.</w:t>
      </w:r>
    </w:p>
    <w:p w:rsidR="00E12F4F" w:rsidRPr="00E12F4F" w:rsidRDefault="00E12F4F" w:rsidP="00CA65AD">
      <w:pPr>
        <w:spacing w:line="480" w:lineRule="auto"/>
        <w:ind w:firstLine="720"/>
        <w:rPr>
          <w:rFonts w:ascii="Times New Roman" w:hAnsi="Times New Roman" w:cs="Times New Roman"/>
          <w:color w:val="222222"/>
          <w:sz w:val="24"/>
          <w:szCs w:val="24"/>
          <w:shd w:val="clear" w:color="auto" w:fill="FFFFFF"/>
        </w:rPr>
      </w:pPr>
      <w:r w:rsidRPr="00E12F4F">
        <w:rPr>
          <w:rFonts w:ascii="Times New Roman" w:hAnsi="Times New Roman" w:cs="Times New Roman"/>
          <w:color w:val="222222"/>
          <w:sz w:val="24"/>
          <w:szCs w:val="24"/>
          <w:shd w:val="clear" w:color="auto" w:fill="FFFFFF"/>
        </w:rPr>
        <w:t>Another option on the table in the form of licensing repurchase means the company can now reenter the Japanese market directly or can sell the license to another subsidiary or company. Having an international subsidiary or licensee has been proven to be a better way of succeeding in global markets since the local subsidiary has a better understanding of the domestic business environment and more likely to suit its products to local needs (</w:t>
      </w:r>
      <w:proofErr w:type="spellStart"/>
      <w:r w:rsidRPr="00E12F4F">
        <w:rPr>
          <w:rFonts w:ascii="Times New Roman" w:hAnsi="Times New Roman" w:cs="Times New Roman"/>
          <w:color w:val="222222"/>
          <w:sz w:val="24"/>
          <w:szCs w:val="24"/>
          <w:shd w:val="clear" w:color="auto" w:fill="FFFFFF"/>
        </w:rPr>
        <w:t>Långbacka</w:t>
      </w:r>
      <w:proofErr w:type="spellEnd"/>
      <w:r w:rsidRPr="00E12F4F">
        <w:rPr>
          <w:rFonts w:ascii="Times New Roman" w:hAnsi="Times New Roman" w:cs="Times New Roman"/>
          <w:color w:val="222222"/>
          <w:sz w:val="24"/>
          <w:szCs w:val="24"/>
          <w:shd w:val="clear" w:color="auto" w:fill="FFFFFF"/>
        </w:rPr>
        <w:t xml:space="preserve">, 2018).  Starting up a Greenfield venture can be a tricky balance between getting the right </w:t>
      </w:r>
      <w:r w:rsidRPr="00E12F4F">
        <w:rPr>
          <w:rFonts w:ascii="Times New Roman" w:hAnsi="Times New Roman" w:cs="Times New Roman"/>
          <w:color w:val="222222"/>
          <w:sz w:val="24"/>
          <w:szCs w:val="24"/>
          <w:shd w:val="clear" w:color="auto" w:fill="FFFFFF"/>
        </w:rPr>
        <w:lastRenderedPageBreak/>
        <w:t xml:space="preserve">conditions according to the business environment, which could end in losses if not well executed, but in case of proper execution, it means a more extensive global presence and more profits. Exporting ready-made products from the US to Japan is probably the most expensive mode of business among all discussed above. The high cost of labor and thus production cost in the US as well as shipping and tariff costs can lead to losing making. </w:t>
      </w:r>
    </w:p>
    <w:p w:rsidR="008D55F5" w:rsidRDefault="00E12F4F" w:rsidP="00770C8D">
      <w:pPr>
        <w:spacing w:line="480" w:lineRule="auto"/>
        <w:ind w:firstLine="720"/>
        <w:rPr>
          <w:rFonts w:ascii="Times New Roman" w:hAnsi="Times New Roman" w:cs="Times New Roman"/>
          <w:color w:val="222222"/>
          <w:sz w:val="24"/>
          <w:szCs w:val="24"/>
          <w:shd w:val="clear" w:color="auto" w:fill="FFFFFF"/>
        </w:rPr>
      </w:pPr>
      <w:r w:rsidRPr="00E12F4F">
        <w:rPr>
          <w:rFonts w:ascii="Times New Roman" w:hAnsi="Times New Roman" w:cs="Times New Roman"/>
          <w:color w:val="222222"/>
          <w:sz w:val="24"/>
          <w:szCs w:val="24"/>
          <w:shd w:val="clear" w:color="auto" w:fill="FFFFFF"/>
        </w:rPr>
        <w:t>In conclusion, acquisition to me could be the best strategy as there is less likelihood of loss-making as the original business order will be less affected; thus, it is the least risky strategy with the highest benefits.</w:t>
      </w: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8D55F5" w:rsidRDefault="008D55F5" w:rsidP="00D45900">
      <w:pPr>
        <w:spacing w:line="480" w:lineRule="auto"/>
        <w:rPr>
          <w:rFonts w:ascii="Times New Roman" w:hAnsi="Times New Roman" w:cs="Times New Roman"/>
          <w:color w:val="222222"/>
          <w:sz w:val="24"/>
          <w:szCs w:val="24"/>
          <w:shd w:val="clear" w:color="auto" w:fill="FFFFFF"/>
        </w:rPr>
      </w:pPr>
    </w:p>
    <w:p w:rsidR="0092579B" w:rsidRDefault="0092579B" w:rsidP="00D45900">
      <w:pPr>
        <w:spacing w:line="480" w:lineRule="auto"/>
        <w:rPr>
          <w:rFonts w:ascii="Times New Roman" w:hAnsi="Times New Roman" w:cs="Times New Roman"/>
          <w:color w:val="222222"/>
          <w:sz w:val="24"/>
          <w:szCs w:val="24"/>
          <w:shd w:val="clear" w:color="auto" w:fill="FFFFFF"/>
        </w:rPr>
      </w:pPr>
    </w:p>
    <w:p w:rsidR="0092579B" w:rsidRDefault="0092579B" w:rsidP="00D45900">
      <w:pPr>
        <w:spacing w:line="480" w:lineRule="auto"/>
        <w:rPr>
          <w:rFonts w:ascii="Times New Roman" w:hAnsi="Times New Roman" w:cs="Times New Roman"/>
          <w:color w:val="222222"/>
          <w:sz w:val="24"/>
          <w:szCs w:val="24"/>
          <w:shd w:val="clear" w:color="auto" w:fill="FFFFFF"/>
        </w:rPr>
      </w:pPr>
    </w:p>
    <w:p w:rsidR="0092579B" w:rsidRDefault="0092579B" w:rsidP="00D45900">
      <w:pPr>
        <w:spacing w:line="480" w:lineRule="auto"/>
        <w:rPr>
          <w:rFonts w:ascii="Times New Roman" w:hAnsi="Times New Roman" w:cs="Times New Roman"/>
          <w:color w:val="222222"/>
          <w:sz w:val="24"/>
          <w:szCs w:val="24"/>
          <w:shd w:val="clear" w:color="auto" w:fill="FFFFFF"/>
        </w:rPr>
      </w:pPr>
    </w:p>
    <w:p w:rsidR="000D79D8" w:rsidRPr="00D45900" w:rsidRDefault="000D79D8" w:rsidP="0092579B">
      <w:pPr>
        <w:spacing w:line="480" w:lineRule="auto"/>
        <w:jc w:val="center"/>
        <w:rPr>
          <w:rFonts w:ascii="Times New Roman" w:hAnsi="Times New Roman" w:cs="Times New Roman"/>
          <w:color w:val="222222"/>
          <w:sz w:val="24"/>
          <w:szCs w:val="24"/>
          <w:shd w:val="clear" w:color="auto" w:fill="FFFFFF"/>
        </w:rPr>
      </w:pPr>
      <w:r w:rsidRPr="00D45900">
        <w:rPr>
          <w:rFonts w:ascii="Times New Roman" w:hAnsi="Times New Roman" w:cs="Times New Roman"/>
          <w:color w:val="222222"/>
          <w:sz w:val="24"/>
          <w:szCs w:val="24"/>
          <w:shd w:val="clear" w:color="auto" w:fill="FFFFFF"/>
        </w:rPr>
        <w:lastRenderedPageBreak/>
        <w:t>References</w:t>
      </w:r>
    </w:p>
    <w:p w:rsidR="0092579B" w:rsidRPr="00D45900" w:rsidRDefault="0092579B" w:rsidP="008D55F5">
      <w:pPr>
        <w:spacing w:line="480" w:lineRule="auto"/>
        <w:ind w:left="720" w:hanging="720"/>
        <w:rPr>
          <w:rFonts w:ascii="Times New Roman" w:hAnsi="Times New Roman" w:cs="Times New Roman"/>
          <w:sz w:val="24"/>
          <w:szCs w:val="24"/>
        </w:rPr>
      </w:pPr>
      <w:proofErr w:type="spellStart"/>
      <w:r w:rsidRPr="00D45900">
        <w:rPr>
          <w:rFonts w:ascii="Times New Roman" w:hAnsi="Times New Roman" w:cs="Times New Roman"/>
          <w:color w:val="222222"/>
          <w:sz w:val="24"/>
          <w:szCs w:val="24"/>
          <w:shd w:val="clear" w:color="auto" w:fill="FFFFFF"/>
        </w:rPr>
        <w:t>Långbacka</w:t>
      </w:r>
      <w:proofErr w:type="spellEnd"/>
      <w:r w:rsidRPr="00D45900">
        <w:rPr>
          <w:rFonts w:ascii="Times New Roman" w:hAnsi="Times New Roman" w:cs="Times New Roman"/>
          <w:color w:val="222222"/>
          <w:sz w:val="24"/>
          <w:szCs w:val="24"/>
          <w:shd w:val="clear" w:color="auto" w:fill="FFFFFF"/>
        </w:rPr>
        <w:t>, A. (2018). Pros and cons of different market entry modes: A study of Finnish companies entering the South Korean market.</w:t>
      </w:r>
    </w:p>
    <w:p w:rsidR="0092579B" w:rsidRPr="00D45900" w:rsidRDefault="0092579B" w:rsidP="008D55F5">
      <w:pPr>
        <w:spacing w:line="480" w:lineRule="auto"/>
        <w:ind w:left="720" w:hanging="720"/>
        <w:rPr>
          <w:rFonts w:ascii="Times New Roman" w:hAnsi="Times New Roman" w:cs="Times New Roman"/>
          <w:color w:val="222222"/>
          <w:sz w:val="24"/>
          <w:szCs w:val="24"/>
          <w:shd w:val="clear" w:color="auto" w:fill="FFFFFF"/>
        </w:rPr>
      </w:pPr>
      <w:proofErr w:type="spellStart"/>
      <w:r w:rsidRPr="00D45900">
        <w:rPr>
          <w:rFonts w:ascii="Times New Roman" w:hAnsi="Times New Roman" w:cs="Times New Roman"/>
          <w:color w:val="222222"/>
          <w:sz w:val="24"/>
          <w:szCs w:val="24"/>
          <w:shd w:val="clear" w:color="auto" w:fill="FFFFFF"/>
        </w:rPr>
        <w:t>Madhok</w:t>
      </w:r>
      <w:proofErr w:type="spellEnd"/>
      <w:r w:rsidRPr="00D45900">
        <w:rPr>
          <w:rFonts w:ascii="Times New Roman" w:hAnsi="Times New Roman" w:cs="Times New Roman"/>
          <w:color w:val="222222"/>
          <w:sz w:val="24"/>
          <w:szCs w:val="24"/>
          <w:shd w:val="clear" w:color="auto" w:fill="FFFFFF"/>
        </w:rPr>
        <w:t xml:space="preserve">, A., &amp; </w:t>
      </w:r>
      <w:proofErr w:type="spellStart"/>
      <w:r w:rsidRPr="00D45900">
        <w:rPr>
          <w:rFonts w:ascii="Times New Roman" w:hAnsi="Times New Roman" w:cs="Times New Roman"/>
          <w:color w:val="222222"/>
          <w:sz w:val="24"/>
          <w:szCs w:val="24"/>
          <w:shd w:val="clear" w:color="auto" w:fill="FFFFFF"/>
        </w:rPr>
        <w:t>Keyhani</w:t>
      </w:r>
      <w:proofErr w:type="spellEnd"/>
      <w:r w:rsidRPr="00D45900">
        <w:rPr>
          <w:rFonts w:ascii="Times New Roman" w:hAnsi="Times New Roman" w:cs="Times New Roman"/>
          <w:color w:val="222222"/>
          <w:sz w:val="24"/>
          <w:szCs w:val="24"/>
          <w:shd w:val="clear" w:color="auto" w:fill="FFFFFF"/>
        </w:rPr>
        <w:t>, M. (2012). Acquisitions as entrepreneurship: Asymmetries, opportunities, and the internationalization of multinationals from emerging economies. </w:t>
      </w:r>
      <w:r w:rsidRPr="00D45900">
        <w:rPr>
          <w:rFonts w:ascii="Times New Roman" w:hAnsi="Times New Roman" w:cs="Times New Roman"/>
          <w:i/>
          <w:iCs/>
          <w:color w:val="222222"/>
          <w:sz w:val="24"/>
          <w:szCs w:val="24"/>
          <w:shd w:val="clear" w:color="auto" w:fill="FFFFFF"/>
        </w:rPr>
        <w:t>Global Strategy Journal</w:t>
      </w:r>
      <w:r w:rsidRPr="00D45900">
        <w:rPr>
          <w:rFonts w:ascii="Times New Roman" w:hAnsi="Times New Roman" w:cs="Times New Roman"/>
          <w:color w:val="222222"/>
          <w:sz w:val="24"/>
          <w:szCs w:val="24"/>
          <w:shd w:val="clear" w:color="auto" w:fill="FFFFFF"/>
        </w:rPr>
        <w:t>, </w:t>
      </w:r>
      <w:r w:rsidRPr="00D45900">
        <w:rPr>
          <w:rFonts w:ascii="Times New Roman" w:hAnsi="Times New Roman" w:cs="Times New Roman"/>
          <w:i/>
          <w:iCs/>
          <w:color w:val="222222"/>
          <w:sz w:val="24"/>
          <w:szCs w:val="24"/>
          <w:shd w:val="clear" w:color="auto" w:fill="FFFFFF"/>
        </w:rPr>
        <w:t>2</w:t>
      </w:r>
      <w:r w:rsidRPr="00D45900">
        <w:rPr>
          <w:rFonts w:ascii="Times New Roman" w:hAnsi="Times New Roman" w:cs="Times New Roman"/>
          <w:color w:val="222222"/>
          <w:sz w:val="24"/>
          <w:szCs w:val="24"/>
          <w:shd w:val="clear" w:color="auto" w:fill="FFFFFF"/>
        </w:rPr>
        <w:t>(1), 26-40.</w:t>
      </w:r>
    </w:p>
    <w:p w:rsidR="0092579B" w:rsidRPr="00D45900" w:rsidRDefault="0092579B" w:rsidP="008D55F5">
      <w:pPr>
        <w:spacing w:line="480" w:lineRule="auto"/>
        <w:ind w:left="720" w:hanging="720"/>
        <w:rPr>
          <w:rFonts w:ascii="Times New Roman" w:hAnsi="Times New Roman" w:cs="Times New Roman"/>
          <w:color w:val="222222"/>
          <w:sz w:val="24"/>
          <w:szCs w:val="24"/>
          <w:shd w:val="clear" w:color="auto" w:fill="FFFFFF"/>
        </w:rPr>
      </w:pPr>
      <w:r w:rsidRPr="00D45900">
        <w:rPr>
          <w:rFonts w:ascii="Times New Roman" w:hAnsi="Times New Roman" w:cs="Times New Roman"/>
          <w:color w:val="222222"/>
          <w:sz w:val="24"/>
          <w:szCs w:val="24"/>
          <w:shd w:val="clear" w:color="auto" w:fill="FFFFFF"/>
        </w:rPr>
        <w:t>Nielsen, B. B., &amp; Nielsen, S. (2011). The role of top management team international orientation in international strategic decision-making: The choice of foreign entry mode. </w:t>
      </w:r>
      <w:r w:rsidRPr="00D45900">
        <w:rPr>
          <w:rFonts w:ascii="Times New Roman" w:hAnsi="Times New Roman" w:cs="Times New Roman"/>
          <w:i/>
          <w:iCs/>
          <w:color w:val="222222"/>
          <w:sz w:val="24"/>
          <w:szCs w:val="24"/>
          <w:shd w:val="clear" w:color="auto" w:fill="FFFFFF"/>
        </w:rPr>
        <w:t>Journal of World Business</w:t>
      </w:r>
      <w:r w:rsidRPr="00D45900">
        <w:rPr>
          <w:rFonts w:ascii="Times New Roman" w:hAnsi="Times New Roman" w:cs="Times New Roman"/>
          <w:color w:val="222222"/>
          <w:sz w:val="24"/>
          <w:szCs w:val="24"/>
          <w:shd w:val="clear" w:color="auto" w:fill="FFFFFF"/>
        </w:rPr>
        <w:t>, </w:t>
      </w:r>
      <w:r w:rsidRPr="00D45900">
        <w:rPr>
          <w:rFonts w:ascii="Times New Roman" w:hAnsi="Times New Roman" w:cs="Times New Roman"/>
          <w:i/>
          <w:iCs/>
          <w:color w:val="222222"/>
          <w:sz w:val="24"/>
          <w:szCs w:val="24"/>
          <w:shd w:val="clear" w:color="auto" w:fill="FFFFFF"/>
        </w:rPr>
        <w:t>46</w:t>
      </w:r>
      <w:r w:rsidRPr="00D45900">
        <w:rPr>
          <w:rFonts w:ascii="Times New Roman" w:hAnsi="Times New Roman" w:cs="Times New Roman"/>
          <w:color w:val="222222"/>
          <w:sz w:val="24"/>
          <w:szCs w:val="24"/>
          <w:shd w:val="clear" w:color="auto" w:fill="FFFFFF"/>
        </w:rPr>
        <w:t>(2), 185-193.</w:t>
      </w:r>
    </w:p>
    <w:p w:rsidR="0081651E" w:rsidRPr="00D45900" w:rsidRDefault="0081651E" w:rsidP="00D45900">
      <w:pPr>
        <w:spacing w:line="480" w:lineRule="auto"/>
        <w:rPr>
          <w:rFonts w:ascii="Times New Roman" w:hAnsi="Times New Roman" w:cs="Times New Roman"/>
          <w:sz w:val="24"/>
          <w:szCs w:val="24"/>
        </w:rPr>
      </w:pPr>
    </w:p>
    <w:p w:rsidR="003F1C3B" w:rsidRPr="00D45900" w:rsidRDefault="003F1C3B" w:rsidP="00D45900">
      <w:pPr>
        <w:spacing w:line="480" w:lineRule="auto"/>
        <w:rPr>
          <w:rFonts w:ascii="Times New Roman" w:hAnsi="Times New Roman" w:cs="Times New Roman"/>
          <w:sz w:val="24"/>
          <w:szCs w:val="24"/>
        </w:rPr>
      </w:pPr>
    </w:p>
    <w:sectPr w:rsidR="003F1C3B" w:rsidRPr="00D45900" w:rsidSect="008D55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88E" w:rsidRDefault="0072488E" w:rsidP="008D55F5">
      <w:pPr>
        <w:spacing w:after="0" w:line="240" w:lineRule="auto"/>
      </w:pPr>
      <w:r>
        <w:separator/>
      </w:r>
    </w:p>
  </w:endnote>
  <w:endnote w:type="continuationSeparator" w:id="0">
    <w:p w:rsidR="0072488E" w:rsidRDefault="0072488E" w:rsidP="008D5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88E" w:rsidRDefault="0072488E" w:rsidP="008D55F5">
      <w:pPr>
        <w:spacing w:after="0" w:line="240" w:lineRule="auto"/>
      </w:pPr>
      <w:r>
        <w:separator/>
      </w:r>
    </w:p>
  </w:footnote>
  <w:footnote w:type="continuationSeparator" w:id="0">
    <w:p w:rsidR="0072488E" w:rsidRDefault="0072488E" w:rsidP="008D5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BCA" w:rsidRPr="00603BCA" w:rsidRDefault="00603BCA" w:rsidP="00603BCA">
    <w:pPr>
      <w:pStyle w:val="Header"/>
      <w:rPr>
        <w:rFonts w:ascii="Times New Roman" w:hAnsi="Times New Roman" w:cs="Times New Roman"/>
        <w:sz w:val="24"/>
        <w:szCs w:val="24"/>
      </w:rPr>
    </w:pPr>
    <w:r w:rsidRPr="008D55F5">
      <w:rPr>
        <w:rFonts w:ascii="Times New Roman" w:hAnsi="Times New Roman" w:cs="Times New Roman"/>
        <w:sz w:val="24"/>
        <w:szCs w:val="24"/>
      </w:rPr>
      <w:t>STRATEGIC ENTRY OPTIONS</w:t>
    </w:r>
    <w:r>
      <w:rPr>
        <w:rFonts w:ascii="Times New Roman" w:hAnsi="Times New Roman" w:cs="Times New Roman"/>
        <w:sz w:val="24"/>
        <w:szCs w:val="24"/>
      </w:rPr>
      <w:t xml:space="preserve">                                                                                                   </w:t>
    </w:r>
    <w:sdt>
      <w:sdtPr>
        <w:id w:val="1956437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2CC7">
          <w:rPr>
            <w:noProof/>
          </w:rPr>
          <w:t>4</w:t>
        </w:r>
        <w:r>
          <w:rPr>
            <w:noProof/>
          </w:rPr>
          <w:fldChar w:fldCharType="end"/>
        </w:r>
      </w:sdtContent>
    </w:sdt>
  </w:p>
  <w:p w:rsidR="008D55F5" w:rsidRPr="00603BCA" w:rsidRDefault="008D55F5" w:rsidP="00603B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97084732"/>
      <w:docPartObj>
        <w:docPartGallery w:val="Page Numbers (Top of Page)"/>
        <w:docPartUnique/>
      </w:docPartObj>
    </w:sdtPr>
    <w:sdtEndPr>
      <w:rPr>
        <w:noProof/>
      </w:rPr>
    </w:sdtEndPr>
    <w:sdtContent>
      <w:p w:rsidR="009F64E5" w:rsidRPr="008E5C35" w:rsidRDefault="009F64E5" w:rsidP="008E5C35">
        <w:pPr>
          <w:pStyle w:val="Header"/>
          <w:rPr>
            <w:rFonts w:ascii="Times New Roman" w:hAnsi="Times New Roman" w:cs="Times New Roman"/>
            <w:sz w:val="24"/>
          </w:rPr>
        </w:pPr>
        <w:r w:rsidRPr="008E5C35">
          <w:rPr>
            <w:rFonts w:ascii="Times New Roman" w:hAnsi="Times New Roman" w:cs="Times New Roman"/>
            <w:sz w:val="24"/>
          </w:rPr>
          <w:t>STRATEGIC ENTRY OPTIONS</w:t>
        </w:r>
        <w:r w:rsidR="008E5C35" w:rsidRPr="008E5C35">
          <w:rPr>
            <w:rFonts w:ascii="Times New Roman" w:hAnsi="Times New Roman" w:cs="Times New Roman"/>
            <w:sz w:val="24"/>
          </w:rPr>
          <w:t xml:space="preserve">                      </w:t>
        </w:r>
        <w:r w:rsidR="00603BCA">
          <w:rPr>
            <w:rFonts w:ascii="Times New Roman" w:hAnsi="Times New Roman" w:cs="Times New Roman"/>
            <w:sz w:val="24"/>
          </w:rPr>
          <w:t xml:space="preserve">                              </w:t>
        </w:r>
        <w:r w:rsidR="008E5C35" w:rsidRPr="008E5C35">
          <w:rPr>
            <w:rFonts w:ascii="Times New Roman" w:hAnsi="Times New Roman" w:cs="Times New Roman"/>
            <w:sz w:val="24"/>
          </w:rPr>
          <w:t xml:space="preserve">                                              </w:t>
        </w:r>
        <w:r w:rsidRPr="008E5C35">
          <w:rPr>
            <w:rFonts w:ascii="Times New Roman" w:hAnsi="Times New Roman" w:cs="Times New Roman"/>
            <w:sz w:val="24"/>
          </w:rPr>
          <w:fldChar w:fldCharType="begin"/>
        </w:r>
        <w:r w:rsidRPr="008E5C35">
          <w:rPr>
            <w:rFonts w:ascii="Times New Roman" w:hAnsi="Times New Roman" w:cs="Times New Roman"/>
            <w:sz w:val="24"/>
          </w:rPr>
          <w:instrText xml:space="preserve"> PAGE   \* MERGEFORMAT </w:instrText>
        </w:r>
        <w:r w:rsidRPr="008E5C35">
          <w:rPr>
            <w:rFonts w:ascii="Times New Roman" w:hAnsi="Times New Roman" w:cs="Times New Roman"/>
            <w:sz w:val="24"/>
          </w:rPr>
          <w:fldChar w:fldCharType="separate"/>
        </w:r>
        <w:r w:rsidR="00CF2CC7">
          <w:rPr>
            <w:rFonts w:ascii="Times New Roman" w:hAnsi="Times New Roman" w:cs="Times New Roman"/>
            <w:noProof/>
            <w:sz w:val="24"/>
          </w:rPr>
          <w:t>1</w:t>
        </w:r>
        <w:r w:rsidRPr="008E5C35">
          <w:rPr>
            <w:rFonts w:ascii="Times New Roman" w:hAnsi="Times New Roman" w:cs="Times New Roman"/>
            <w:noProof/>
            <w:sz w:val="24"/>
          </w:rPr>
          <w:fldChar w:fldCharType="end"/>
        </w:r>
      </w:p>
    </w:sdtContent>
  </w:sdt>
  <w:p w:rsidR="008D55F5" w:rsidRPr="008E5C35" w:rsidRDefault="008D55F5" w:rsidP="009F64E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BB"/>
    <w:rsid w:val="0002000F"/>
    <w:rsid w:val="0006036E"/>
    <w:rsid w:val="00083919"/>
    <w:rsid w:val="000D52A7"/>
    <w:rsid w:val="000D79D8"/>
    <w:rsid w:val="0010129A"/>
    <w:rsid w:val="0018305E"/>
    <w:rsid w:val="001968B0"/>
    <w:rsid w:val="001A0162"/>
    <w:rsid w:val="002F4A88"/>
    <w:rsid w:val="003B0A02"/>
    <w:rsid w:val="003F1C3B"/>
    <w:rsid w:val="00411845"/>
    <w:rsid w:val="00422045"/>
    <w:rsid w:val="00427A66"/>
    <w:rsid w:val="00442328"/>
    <w:rsid w:val="004528A1"/>
    <w:rsid w:val="004712AC"/>
    <w:rsid w:val="00492FBB"/>
    <w:rsid w:val="004E261A"/>
    <w:rsid w:val="00524FA0"/>
    <w:rsid w:val="005E5755"/>
    <w:rsid w:val="00603BCA"/>
    <w:rsid w:val="006140C8"/>
    <w:rsid w:val="00620E45"/>
    <w:rsid w:val="00691F2B"/>
    <w:rsid w:val="006E05CD"/>
    <w:rsid w:val="0072488E"/>
    <w:rsid w:val="00756D21"/>
    <w:rsid w:val="00770C8D"/>
    <w:rsid w:val="00786221"/>
    <w:rsid w:val="0081651E"/>
    <w:rsid w:val="00837519"/>
    <w:rsid w:val="00871D22"/>
    <w:rsid w:val="008C0F35"/>
    <w:rsid w:val="008D55F5"/>
    <w:rsid w:val="008E5C35"/>
    <w:rsid w:val="0092579B"/>
    <w:rsid w:val="009B1665"/>
    <w:rsid w:val="009F64E5"/>
    <w:rsid w:val="00B70E58"/>
    <w:rsid w:val="00BB3FD0"/>
    <w:rsid w:val="00BF548D"/>
    <w:rsid w:val="00C43AE7"/>
    <w:rsid w:val="00C53FCE"/>
    <w:rsid w:val="00C628B5"/>
    <w:rsid w:val="00CA65AD"/>
    <w:rsid w:val="00CF2CC7"/>
    <w:rsid w:val="00D45900"/>
    <w:rsid w:val="00DA6212"/>
    <w:rsid w:val="00DB6A86"/>
    <w:rsid w:val="00E12F4F"/>
    <w:rsid w:val="00E70CCE"/>
    <w:rsid w:val="00EC17B6"/>
    <w:rsid w:val="00EE6424"/>
    <w:rsid w:val="00F86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A30DE1-D297-4E76-9B3B-C933F36D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5F5"/>
  </w:style>
  <w:style w:type="paragraph" w:styleId="Footer">
    <w:name w:val="footer"/>
    <w:basedOn w:val="Normal"/>
    <w:link w:val="FooterChar"/>
    <w:uiPriority w:val="99"/>
    <w:unhideWhenUsed/>
    <w:rsid w:val="008D5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cp:lastModifiedBy>
  <cp:revision>2</cp:revision>
  <dcterms:created xsi:type="dcterms:W3CDTF">2020-03-25T10:25:00Z</dcterms:created>
  <dcterms:modified xsi:type="dcterms:W3CDTF">2020-03-25T10:25:00Z</dcterms:modified>
</cp:coreProperties>
</file>